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B31D81F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1E346A47" w:rsidR="001D5454" w:rsidRPr="009F6640" w:rsidRDefault="00441FB6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(ZV) 40-</w:t>
            </w:r>
            <w:r w:rsidR="001D5454">
              <w:rPr>
                <w:rFonts w:eastAsia="Times New Roman" w:cs="Arial"/>
                <w:szCs w:val="20"/>
                <w:lang w:eastAsia="de-DE"/>
              </w:rPr>
              <w:t>154/26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33CA939" w:rsidR="009F6640" w:rsidRPr="00E75FB9" w:rsidRDefault="00441FB6" w:rsidP="00A04D5A">
            <w:pPr>
              <w:spacing w:line="276" w:lineRule="auto"/>
              <w:ind w:left="-799" w:firstLine="0"/>
              <w:jc w:val="left"/>
            </w:pPr>
            <w:r>
              <w:t xml:space="preserve">               Rahmenvertrag Kopierpapier für Berufskollegs Kreis Recklinghausen</w:t>
            </w: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090B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1D5454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41FB6"/>
    <w:rsid w:val="00485628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3760"/>
    <w:rsid w:val="00706175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D293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A0396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Kan, E.</cp:lastModifiedBy>
  <cp:revision>8</cp:revision>
  <dcterms:created xsi:type="dcterms:W3CDTF">2023-11-14T15:41:00Z</dcterms:created>
  <dcterms:modified xsi:type="dcterms:W3CDTF">2026-05-21T14:14:00Z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